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Calibri" w:hAnsi="Calibri"/>
          <w:b/>
          <w:color w:val="0F172A"/>
          <w:sz w:val="36"/>
        </w:rPr>
        <w:t>KLASIFIKASI DATA DAN KRONOLOGI LENGKAP SITUS SIRAH KETENG</w:t>
      </w:r>
    </w:p>
    <w:p>
      <w:pPr>
        <w:spacing w:after="320"/>
      </w:pPr>
      <w:r>
        <w:rPr>
          <w:rFonts w:ascii="Calibri" w:hAnsi="Calibri"/>
          <w:i/>
          <w:color w:val="64748B"/>
          <w:sz w:val="21"/>
        </w:rPr>
        <w:t>Kompilasi Transkrip Wawancara Sejarah Lisan, Mitos, Fakta Arkeologis, dan Kronologi Waktu Pasti (Basis Wawancara: September 2026)</w:t>
      </w:r>
    </w:p>
    <w:p>
      <w:pPr>
        <w:spacing w:after="160" w:line="276" w:lineRule="auto"/>
      </w:pPr>
      <w:r>
        <w:rPr>
          <w:color w:val="334155"/>
        </w:rPr>
        <w:t xml:space="preserve">Dokumen ini memuat seluruh data transkrip wawancara lisan mengenai Situs Beji Sirah Keteng secara utuh dan terperinci tanpa pemangkasan data. Keterangan berbasis estimasi relatif pada transkrip telah dikonversi secara pasti dengan acuan waktu pelaksanaan wawancara pada bulan </w:t>
      </w:r>
      <w:r>
        <w:rPr>
          <w:b/>
          <w:color w:val="0F172A"/>
        </w:rPr>
        <w:t>September 2026</w:t>
      </w:r>
      <w:r>
        <w:rPr>
          <w:color w:val="334155"/>
        </w:rPr>
        <w:t>, meliputi profil informan Pak Wicarno (usia 62 tahun, purna tugas 2024), kronologi fisik situs, perbandingan mitos rakyat, serta rekaman fakta sejarah prasasti.</w:t>
      </w:r>
    </w:p>
    <w:p>
      <w:pPr>
        <w:keepNext/>
        <w:spacing w:before="280" w:after="80"/>
      </w:pPr>
      <w:r>
        <w:rPr>
          <w:rFonts w:ascii="Calibri" w:hAnsi="Calibri"/>
          <w:b/>
          <w:color w:val="0F766E"/>
          <w:sz w:val="28"/>
        </w:rPr>
        <w:t>I. KRONOLOGI LENGKAP &amp; TIMELINE TAHUN PASTI</w:t>
      </w:r>
    </w:p>
    <w:p>
      <w:pPr>
        <w:spacing w:after="120"/>
      </w:pPr>
      <w:r>
        <w:t>Seluruh penanggalan historis dan konversi waktu relatif dari penuturan lisan (September 2026):</w:t>
      </w:r>
    </w:p>
    <w:tbl>
      <w:tblPr>
        <w:tblW w:type="auto" w:w="0"/>
        <w:jc w:val="center"/>
        <w:tblLayout w:type="fixed"/>
        <w:tblLook w:firstColumn="1" w:firstRow="1" w:lastColumn="0" w:lastRow="0" w:noHBand="0" w:noVBand="1" w:val="04A0"/>
      </w:tblPr>
      <w:tblGrid>
        <w:gridCol w:w="3120"/>
        <w:gridCol w:w="3120"/>
        <w:gridCol w:w="3120"/>
      </w:tblGrid>
      <w:tr>
        <w:tc>
          <w:tcPr>
            <w:tcW w:type="dxa" w:w="2160"/>
            <w:shd w:fill="1E293B"/>
            <w:tcMar>
              <w:top w:w="120" w:type="dxa"/>
              <w:bottom w:w="120" w:type="dxa"/>
              <w:left w:w="150" w:type="dxa"/>
              <w:right w:w="150" w:type="dxa"/>
            </w:tcMar>
          </w:tcPr>
          <w:p>
            <w:pPr>
              <w:jc w:val="left"/>
            </w:pPr>
            <w:r>
              <w:rPr>
                <w:b/>
                <w:color w:val="FFFFFF"/>
                <w:sz w:val="20"/>
              </w:rPr>
              <w:t>Tahun / Periode</w:t>
            </w:r>
          </w:p>
        </w:tc>
        <w:tc>
          <w:tcPr>
            <w:tcW w:type="dxa" w:w="3168"/>
            <w:shd w:fill="1E293B"/>
            <w:tcMar>
              <w:top w:w="120" w:type="dxa"/>
              <w:bottom w:w="120" w:type="dxa"/>
              <w:left w:w="150" w:type="dxa"/>
              <w:right w:w="150" w:type="dxa"/>
            </w:tcMar>
          </w:tcPr>
          <w:p>
            <w:pPr>
              <w:jc w:val="left"/>
            </w:pPr>
            <w:r>
              <w:rPr>
                <w:b/>
                <w:color w:val="FFFFFF"/>
                <w:sz w:val="20"/>
              </w:rPr>
              <w:t>Peristiwa / Fase Sejarah</w:t>
            </w:r>
          </w:p>
        </w:tc>
        <w:tc>
          <w:tcPr>
            <w:tcW w:type="dxa" w:w="4032"/>
            <w:shd w:fill="1E293B"/>
            <w:tcMar>
              <w:top w:w="120" w:type="dxa"/>
              <w:bottom w:w="120" w:type="dxa"/>
              <w:left w:w="150" w:type="dxa"/>
              <w:right w:w="150" w:type="dxa"/>
            </w:tcMar>
          </w:tcPr>
          <w:p>
            <w:pPr>
              <w:jc w:val="left"/>
            </w:pPr>
            <w:r>
              <w:rPr>
                <w:b/>
                <w:color w:val="FFFFFF"/>
                <w:sz w:val="20"/>
              </w:rPr>
              <w:t>Deskripsi &amp; Konversi Detail dari Transkrip</w:t>
            </w:r>
          </w:p>
        </w:tc>
      </w:tr>
      <w:tr>
        <w:tc>
          <w:tcPr>
            <w:tcW w:type="dxa" w:w="2160"/>
            <w:shd w:fill="FFFFFF"/>
            <w:tcMar>
              <w:top w:w="100" w:type="dxa"/>
              <w:bottom w:w="100" w:type="dxa"/>
              <w:left w:w="150" w:type="dxa"/>
              <w:right w:w="150" w:type="dxa"/>
            </w:tcMar>
          </w:tcPr>
          <w:p>
            <w:pPr>
              <w:spacing w:line="276" w:lineRule="auto" w:after="40"/>
            </w:pPr>
            <w:r>
              <w:rPr>
                <w:b/>
                <w:color w:val="0F766E"/>
                <w:sz w:val="19"/>
              </w:rPr>
              <w:t>1126 Saka /</w:t>
              <w:br/>
              <w:t>1204 Masehi</w:t>
            </w:r>
          </w:p>
        </w:tc>
        <w:tc>
          <w:tcPr>
            <w:tcW w:type="dxa" w:w="3168"/>
            <w:shd w:fill="FFFFFF"/>
            <w:tcMar>
              <w:top w:w="100" w:type="dxa"/>
              <w:bottom w:w="100" w:type="dxa"/>
              <w:left w:w="150" w:type="dxa"/>
              <w:right w:w="150" w:type="dxa"/>
            </w:tcMar>
          </w:tcPr>
          <w:p>
            <w:pPr>
              <w:spacing w:line="276" w:lineRule="auto" w:after="40"/>
            </w:pPr>
            <w:r>
              <w:rPr>
                <w:b/>
                <w:color w:val="0F172A"/>
                <w:sz w:val="19"/>
              </w:rPr>
              <w:t>Penerbitan Prasasti Sirah Keting</w:t>
            </w:r>
          </w:p>
        </w:tc>
        <w:tc>
          <w:tcPr>
            <w:tcW w:type="dxa" w:w="4032"/>
            <w:shd w:fill="FFFFFF"/>
            <w:tcMar>
              <w:top w:w="100" w:type="dxa"/>
              <w:bottom w:w="100" w:type="dxa"/>
              <w:left w:w="150" w:type="dxa"/>
              <w:right w:w="150" w:type="dxa"/>
            </w:tcMar>
          </w:tcPr>
          <w:p>
            <w:pPr>
              <w:spacing w:line="276" w:lineRule="auto" w:after="40"/>
            </w:pPr>
            <w:r>
              <w:rPr>
                <w:color w:val="334155"/>
                <w:sz w:val="19"/>
              </w:rPr>
              <w:t>Pemberian anugerah status Sima Swatantra (daerah perdikan bebas pajak) dan hak istimewa oleh Raja Prabu Sri Jayawarsa Digjaya Sastra Prabu kepada atapatigh Marjaya atas kesetiaan dan pengabdiannya. Sezaman dengan Raja Kameswara di Kadiri.</w:t>
            </w:r>
          </w:p>
        </w:tc>
      </w:tr>
      <w:tr>
        <w:tc>
          <w:tcPr>
            <w:tcW w:type="dxa" w:w="2160"/>
            <w:shd w:fill="F8FAFC"/>
            <w:tcMar>
              <w:top w:w="100" w:type="dxa"/>
              <w:bottom w:w="100" w:type="dxa"/>
              <w:left w:w="150" w:type="dxa"/>
              <w:right w:w="150" w:type="dxa"/>
            </w:tcMar>
          </w:tcPr>
          <w:p>
            <w:pPr>
              <w:spacing w:line="276" w:lineRule="auto" w:after="40"/>
            </w:pPr>
            <w:r>
              <w:rPr>
                <w:b/>
                <w:color w:val="0F766E"/>
                <w:sz w:val="19"/>
              </w:rPr>
              <w:t>Era Pra-Ponorogo</w:t>
              <w:br/>
              <w:t>(Abad X–XIII)</w:t>
            </w:r>
          </w:p>
        </w:tc>
        <w:tc>
          <w:tcPr>
            <w:tcW w:type="dxa" w:w="3168"/>
            <w:shd w:fill="F8FAFC"/>
            <w:tcMar>
              <w:top w:w="100" w:type="dxa"/>
              <w:bottom w:w="100" w:type="dxa"/>
              <w:left w:w="150" w:type="dxa"/>
              <w:right w:w="150" w:type="dxa"/>
            </w:tcMar>
          </w:tcPr>
          <w:p>
            <w:pPr>
              <w:spacing w:line="276" w:lineRule="auto" w:after="40"/>
            </w:pPr>
            <w:r>
              <w:rPr>
                <w:b/>
                <w:color w:val="0F172A"/>
                <w:sz w:val="19"/>
              </w:rPr>
              <w:t>Masa Klasik Kerajaan Kuno / Wengker</w:t>
            </w:r>
          </w:p>
        </w:tc>
        <w:tc>
          <w:tcPr>
            <w:tcW w:type="dxa" w:w="4032"/>
            <w:shd w:fill="F8FAFC"/>
            <w:tcMar>
              <w:top w:w="100" w:type="dxa"/>
              <w:bottom w:w="100" w:type="dxa"/>
              <w:left w:w="150" w:type="dxa"/>
              <w:right w:w="150" w:type="dxa"/>
            </w:tcMar>
          </w:tcPr>
          <w:p>
            <w:pPr>
              <w:spacing w:line="276" w:lineRule="auto" w:after="40"/>
            </w:pPr>
            <w:r>
              <w:rPr>
                <w:color w:val="334155"/>
                <w:sz w:val="19"/>
              </w:rPr>
              <w:t>Kurun waktu kekuasaan Sri Jayawarsa (cucu Dharmawangsa Teguh, trah Mpu Sindok/Medang, kerabat Airlangga). Diperkirakan sebagai masa awal Kerajaan Wengker pertama/kedua yang berpusat di wilayah Madiun-Ponorogo.</w:t>
            </w:r>
          </w:p>
        </w:tc>
      </w:tr>
      <w:tr>
        <w:tc>
          <w:tcPr>
            <w:tcW w:type="dxa" w:w="2160"/>
            <w:shd w:fill="FFFFFF"/>
            <w:tcMar>
              <w:top w:w="100" w:type="dxa"/>
              <w:bottom w:w="100" w:type="dxa"/>
              <w:left w:w="150" w:type="dxa"/>
              <w:right w:w="150" w:type="dxa"/>
            </w:tcMar>
          </w:tcPr>
          <w:p>
            <w:pPr>
              <w:spacing w:line="276" w:lineRule="auto" w:after="40"/>
            </w:pPr>
            <w:r>
              <w:rPr>
                <w:b/>
                <w:color w:val="0F766E"/>
                <w:sz w:val="19"/>
              </w:rPr>
              <w:t>Tahun 1971</w:t>
            </w:r>
          </w:p>
        </w:tc>
        <w:tc>
          <w:tcPr>
            <w:tcW w:type="dxa" w:w="3168"/>
            <w:shd w:fill="FFFFFF"/>
            <w:tcMar>
              <w:top w:w="100" w:type="dxa"/>
              <w:bottom w:w="100" w:type="dxa"/>
              <w:left w:w="150" w:type="dxa"/>
              <w:right w:w="150" w:type="dxa"/>
            </w:tcMar>
          </w:tcPr>
          <w:p>
            <w:pPr>
              <w:spacing w:line="276" w:lineRule="auto" w:after="40"/>
            </w:pPr>
            <w:r>
              <w:rPr>
                <w:b/>
                <w:color w:val="0F172A"/>
                <w:sz w:val="19"/>
              </w:rPr>
              <w:t>Awal Plesengan / Penataan Kolam</w:t>
            </w:r>
          </w:p>
        </w:tc>
        <w:tc>
          <w:tcPr>
            <w:tcW w:type="dxa" w:w="4032"/>
            <w:shd w:fill="FFFFFF"/>
            <w:tcMar>
              <w:top w:w="100" w:type="dxa"/>
              <w:bottom w:w="100" w:type="dxa"/>
              <w:left w:w="150" w:type="dxa"/>
              <w:right w:w="150" w:type="dxa"/>
            </w:tcMar>
          </w:tcPr>
          <w:p>
            <w:pPr>
              <w:spacing w:line="276" w:lineRule="auto" w:after="40"/>
            </w:pPr>
            <w:r>
              <w:rPr>
                <w:color w:val="334155"/>
                <w:sz w:val="19"/>
              </w:rPr>
              <w:t>Dimulainya pemasangan plesteran dinding/tanggul batu (plesengan) di sekeliling area kolam Beji secara bertahap oleh warga dan pemerintah desa setempat.</w:t>
            </w:r>
          </w:p>
        </w:tc>
      </w:tr>
      <w:tr>
        <w:tc>
          <w:tcPr>
            <w:tcW w:type="dxa" w:w="2160"/>
            <w:shd w:fill="F8FAFC"/>
            <w:tcMar>
              <w:top w:w="100" w:type="dxa"/>
              <w:bottom w:w="100" w:type="dxa"/>
              <w:left w:w="150" w:type="dxa"/>
              <w:right w:w="150" w:type="dxa"/>
            </w:tcMar>
          </w:tcPr>
          <w:p>
            <w:pPr>
              <w:spacing w:line="276" w:lineRule="auto" w:after="40"/>
            </w:pPr>
            <w:r>
              <w:rPr>
                <w:b/>
                <w:color w:val="0F766E"/>
                <w:sz w:val="19"/>
              </w:rPr>
              <w:t>Tahun 1970 – 1980-an</w:t>
            </w:r>
          </w:p>
        </w:tc>
        <w:tc>
          <w:tcPr>
            <w:tcW w:type="dxa" w:w="3168"/>
            <w:shd w:fill="F8FAFC"/>
            <w:tcMar>
              <w:top w:w="100" w:type="dxa"/>
              <w:bottom w:w="100" w:type="dxa"/>
              <w:left w:w="150" w:type="dxa"/>
              <w:right w:w="150" w:type="dxa"/>
            </w:tcMar>
          </w:tcPr>
          <w:p>
            <w:pPr>
              <w:spacing w:line="276" w:lineRule="auto" w:after="40"/>
            </w:pPr>
            <w:r>
              <w:rPr>
                <w:b/>
                <w:color w:val="0F172A"/>
                <w:sz w:val="19"/>
              </w:rPr>
              <w:t>Periode Kejayaan Wisata Warga</w:t>
            </w:r>
          </w:p>
        </w:tc>
        <w:tc>
          <w:tcPr>
            <w:tcW w:type="dxa" w:w="4032"/>
            <w:shd w:fill="F8FAFC"/>
            <w:tcMar>
              <w:top w:w="100" w:type="dxa"/>
              <w:bottom w:w="100" w:type="dxa"/>
              <w:left w:w="150" w:type="dxa"/>
              <w:right w:w="150" w:type="dxa"/>
            </w:tcMar>
          </w:tcPr>
          <w:p>
            <w:pPr>
              <w:spacing w:line="276" w:lineRule="auto" w:after="40"/>
            </w:pPr>
            <w:r>
              <w:rPr>
                <w:color w:val="334155"/>
                <w:sz w:val="19"/>
              </w:rPr>
              <w:t>Situs dan kolam Beji sangat ramai dikunjungi masyarakat sebagai objek wisata rekreasi, tempat berlibur, pemandian, dan berenang.</w:t>
            </w:r>
          </w:p>
        </w:tc>
      </w:tr>
      <w:tr>
        <w:tc>
          <w:tcPr>
            <w:tcW w:type="dxa" w:w="2160"/>
            <w:shd w:fill="FFFFFF"/>
            <w:tcMar>
              <w:top w:w="100" w:type="dxa"/>
              <w:bottom w:w="100" w:type="dxa"/>
              <w:left w:w="150" w:type="dxa"/>
              <w:right w:w="150" w:type="dxa"/>
            </w:tcMar>
          </w:tcPr>
          <w:p>
            <w:pPr>
              <w:spacing w:line="276" w:lineRule="auto" w:after="40"/>
            </w:pPr>
            <w:r>
              <w:rPr>
                <w:b/>
                <w:color w:val="0F766E"/>
                <w:sz w:val="19"/>
              </w:rPr>
              <w:t>Pasca 1980-an</w:t>
            </w:r>
          </w:p>
        </w:tc>
        <w:tc>
          <w:tcPr>
            <w:tcW w:type="dxa" w:w="3168"/>
            <w:shd w:fill="FFFFFF"/>
            <w:tcMar>
              <w:top w:w="100" w:type="dxa"/>
              <w:bottom w:w="100" w:type="dxa"/>
              <w:left w:w="150" w:type="dxa"/>
              <w:right w:w="150" w:type="dxa"/>
            </w:tcMar>
          </w:tcPr>
          <w:p>
            <w:pPr>
              <w:spacing w:line="276" w:lineRule="auto" w:after="40"/>
            </w:pPr>
            <w:r>
              <w:rPr>
                <w:b/>
                <w:color w:val="0F172A"/>
                <w:sz w:val="19"/>
              </w:rPr>
              <w:t>Awal Kemunduran dan Kerusakan</w:t>
            </w:r>
          </w:p>
        </w:tc>
        <w:tc>
          <w:tcPr>
            <w:tcW w:type="dxa" w:w="4032"/>
            <w:shd w:fill="FFFFFF"/>
            <w:tcMar>
              <w:top w:w="100" w:type="dxa"/>
              <w:bottom w:w="100" w:type="dxa"/>
              <w:left w:w="150" w:type="dxa"/>
              <w:right w:w="150" w:type="dxa"/>
            </w:tcMar>
          </w:tcPr>
          <w:p>
            <w:pPr>
              <w:spacing w:line="276" w:lineRule="auto" w:after="40"/>
            </w:pPr>
            <w:r>
              <w:rPr>
                <w:color w:val="334155"/>
                <w:sz w:val="19"/>
              </w:rPr>
              <w:t>Situs mulai sepi dari kunjungan wisatawan, struktur fisik kolam dan dinding mulai rusak dan terbengkalai seiring keterbatasan biaya pengelolaan desa.</w:t>
            </w:r>
          </w:p>
        </w:tc>
      </w:tr>
      <w:tr>
        <w:tc>
          <w:tcPr>
            <w:tcW w:type="dxa" w:w="2160"/>
            <w:shd w:fill="F8FAFC"/>
            <w:tcMar>
              <w:top w:w="100" w:type="dxa"/>
              <w:bottom w:w="100" w:type="dxa"/>
              <w:left w:w="150" w:type="dxa"/>
              <w:right w:w="150" w:type="dxa"/>
            </w:tcMar>
          </w:tcPr>
          <w:p>
            <w:pPr>
              <w:spacing w:line="276" w:lineRule="auto" w:after="40"/>
            </w:pPr>
            <w:r>
              <w:rPr>
                <w:b/>
                <w:color w:val="0F766E"/>
                <w:sz w:val="19"/>
              </w:rPr>
              <w:t>Tahun 2011</w:t>
              <w:br/>
              <w:t>(Konversi '15 tahun lalu')</w:t>
            </w:r>
          </w:p>
        </w:tc>
        <w:tc>
          <w:tcPr>
            <w:tcW w:type="dxa" w:w="3168"/>
            <w:shd w:fill="F8FAFC"/>
            <w:tcMar>
              <w:top w:w="100" w:type="dxa"/>
              <w:bottom w:w="100" w:type="dxa"/>
              <w:left w:w="150" w:type="dxa"/>
              <w:right w:w="150" w:type="dxa"/>
            </w:tcMar>
          </w:tcPr>
          <w:p>
            <w:pPr>
              <w:spacing w:line="276" w:lineRule="auto" w:after="40"/>
            </w:pPr>
            <w:r>
              <w:rPr>
                <w:b/>
                <w:color w:val="0F172A"/>
                <w:sz w:val="19"/>
              </w:rPr>
              <w:t>Renovasi Terakhir Plesengan Kolam</w:t>
            </w:r>
          </w:p>
        </w:tc>
        <w:tc>
          <w:tcPr>
            <w:tcW w:type="dxa" w:w="4032"/>
            <w:shd w:fill="F8FAFC"/>
            <w:tcMar>
              <w:top w:w="100" w:type="dxa"/>
              <w:bottom w:w="100" w:type="dxa"/>
              <w:left w:w="150" w:type="dxa"/>
              <w:right w:w="150" w:type="dxa"/>
            </w:tcMar>
          </w:tcPr>
          <w:p>
            <w:pPr>
              <w:spacing w:line="276" w:lineRule="auto" w:after="40"/>
            </w:pPr>
            <w:r>
              <w:rPr>
                <w:color w:val="334155"/>
                <w:sz w:val="19"/>
              </w:rPr>
              <w:t>Disebutkan narasumber terjadi 'sekitar 15-an tahun yang lalu' dari wawancara 2026. Merupakan proyek perbaikan terakhir plesengan sebelum akhirnya banyak dinding kolam kembali ambrol.</w:t>
            </w:r>
          </w:p>
        </w:tc>
      </w:tr>
      <w:tr>
        <w:tc>
          <w:tcPr>
            <w:tcW w:type="dxa" w:w="2160"/>
            <w:shd w:fill="FFFFFF"/>
            <w:tcMar>
              <w:top w:w="100" w:type="dxa"/>
              <w:bottom w:w="100" w:type="dxa"/>
              <w:left w:w="150" w:type="dxa"/>
              <w:right w:w="150" w:type="dxa"/>
            </w:tcMar>
          </w:tcPr>
          <w:p>
            <w:pPr>
              <w:spacing w:line="276" w:lineRule="auto" w:after="40"/>
            </w:pPr>
            <w:r>
              <w:rPr>
                <w:b/>
                <w:color w:val="0F766E"/>
                <w:sz w:val="19"/>
              </w:rPr>
              <w:t>Tahun 2016</w:t>
              <w:br/>
              <w:t>(Konversi '10 tahun lalu')</w:t>
            </w:r>
          </w:p>
        </w:tc>
        <w:tc>
          <w:tcPr>
            <w:tcW w:type="dxa" w:w="3168"/>
            <w:shd w:fill="FFFFFF"/>
            <w:tcMar>
              <w:top w:w="100" w:type="dxa"/>
              <w:bottom w:w="100" w:type="dxa"/>
              <w:left w:w="150" w:type="dxa"/>
              <w:right w:w="150" w:type="dxa"/>
            </w:tcMar>
          </w:tcPr>
          <w:p>
            <w:pPr>
              <w:spacing w:line="276" w:lineRule="auto" w:after="40"/>
            </w:pPr>
            <w:r>
              <w:rPr>
                <w:b/>
                <w:color w:val="0F172A"/>
                <w:sz w:val="19"/>
              </w:rPr>
              <w:t>Penggalian &amp; Ekskavasi Kolam Ikan</w:t>
            </w:r>
          </w:p>
        </w:tc>
        <w:tc>
          <w:tcPr>
            <w:tcW w:type="dxa" w:w="4032"/>
            <w:shd w:fill="FFFFFF"/>
            <w:tcMar>
              <w:top w:w="100" w:type="dxa"/>
              <w:bottom w:w="100" w:type="dxa"/>
              <w:left w:w="150" w:type="dxa"/>
              <w:right w:w="150" w:type="dxa"/>
            </w:tcMar>
          </w:tcPr>
          <w:p>
            <w:pPr>
              <w:spacing w:line="276" w:lineRule="auto" w:after="40"/>
            </w:pPr>
            <w:r>
              <w:rPr>
                <w:color w:val="334155"/>
                <w:sz w:val="19"/>
              </w:rPr>
              <w:t>Disebutkan narasumber terjadi 'sekitar 10 tahunan ini / 10 tahun yang lalu' dari 2026. Area kolam pemancingan dikeduk/diperdalam hingga menemukan struktur pondasi kuno dan batu bata merah berukuran besar.</w:t>
            </w:r>
          </w:p>
        </w:tc>
      </w:tr>
      <w:tr>
        <w:tc>
          <w:tcPr>
            <w:tcW w:type="dxa" w:w="2160"/>
            <w:shd w:fill="F8FAFC"/>
            <w:tcMar>
              <w:top w:w="100" w:type="dxa"/>
              <w:bottom w:w="100" w:type="dxa"/>
              <w:left w:w="150" w:type="dxa"/>
              <w:right w:w="150" w:type="dxa"/>
            </w:tcMar>
          </w:tcPr>
          <w:p>
            <w:pPr>
              <w:spacing w:line="276" w:lineRule="auto" w:after="40"/>
            </w:pPr>
            <w:r>
              <w:rPr>
                <w:b/>
                <w:color w:val="0F766E"/>
                <w:sz w:val="19"/>
              </w:rPr>
              <w:t>Tahun 2024</w:t>
            </w:r>
          </w:p>
        </w:tc>
        <w:tc>
          <w:tcPr>
            <w:tcW w:type="dxa" w:w="3168"/>
            <w:shd w:fill="F8FAFC"/>
            <w:tcMar>
              <w:top w:w="100" w:type="dxa"/>
              <w:bottom w:w="100" w:type="dxa"/>
              <w:left w:w="150" w:type="dxa"/>
              <w:right w:w="150" w:type="dxa"/>
            </w:tcMar>
          </w:tcPr>
          <w:p>
            <w:pPr>
              <w:spacing w:line="276" w:lineRule="auto" w:after="40"/>
            </w:pPr>
            <w:r>
              <w:rPr>
                <w:b/>
                <w:color w:val="0F172A"/>
                <w:sz w:val="19"/>
              </w:rPr>
              <w:t>Purna Tugas Pak Wicarno</w:t>
            </w:r>
          </w:p>
        </w:tc>
        <w:tc>
          <w:tcPr>
            <w:tcW w:type="dxa" w:w="4032"/>
            <w:shd w:fill="F8FAFC"/>
            <w:tcMar>
              <w:top w:w="100" w:type="dxa"/>
              <w:bottom w:w="100" w:type="dxa"/>
              <w:left w:w="150" w:type="dxa"/>
              <w:right w:w="150" w:type="dxa"/>
            </w:tcMar>
          </w:tcPr>
          <w:p>
            <w:pPr>
              <w:spacing w:line="276" w:lineRule="auto" w:after="40"/>
            </w:pPr>
            <w:r>
              <w:rPr>
                <w:color w:val="334155"/>
                <w:sz w:val="19"/>
              </w:rPr>
              <w:t>Narasumber (Pak Wicarno, 62 tahun) resmi menyelesaikan masa tugas dan purna bakti sebagai pamong/perangkat Desa Bedingin.</w:t>
            </w:r>
          </w:p>
        </w:tc>
      </w:tr>
      <w:tr>
        <w:tc>
          <w:tcPr>
            <w:tcW w:type="dxa" w:w="2160"/>
            <w:shd w:fill="FFFFFF"/>
            <w:tcMar>
              <w:top w:w="100" w:type="dxa"/>
              <w:bottom w:w="100" w:type="dxa"/>
              <w:left w:w="150" w:type="dxa"/>
              <w:right w:w="150" w:type="dxa"/>
            </w:tcMar>
          </w:tcPr>
          <w:p>
            <w:pPr>
              <w:spacing w:line="276" w:lineRule="auto" w:after="40"/>
            </w:pPr>
            <w:r>
              <w:rPr>
                <w:b/>
                <w:color w:val="0F766E"/>
                <w:sz w:val="19"/>
              </w:rPr>
              <w:t>September 2026</w:t>
            </w:r>
          </w:p>
        </w:tc>
        <w:tc>
          <w:tcPr>
            <w:tcW w:type="dxa" w:w="3168"/>
            <w:shd w:fill="FFFFFF"/>
            <w:tcMar>
              <w:top w:w="100" w:type="dxa"/>
              <w:bottom w:w="100" w:type="dxa"/>
              <w:left w:w="150" w:type="dxa"/>
              <w:right w:w="150" w:type="dxa"/>
            </w:tcMar>
          </w:tcPr>
          <w:p>
            <w:pPr>
              <w:spacing w:line="276" w:lineRule="auto" w:after="40"/>
            </w:pPr>
            <w:r>
              <w:rPr>
                <w:b/>
                <w:color w:val="0F172A"/>
                <w:sz w:val="19"/>
              </w:rPr>
              <w:t>Pelaksanaan Wawancara Penelitian</w:t>
            </w:r>
          </w:p>
        </w:tc>
        <w:tc>
          <w:tcPr>
            <w:tcW w:type="dxa" w:w="4032"/>
            <w:shd w:fill="FFFFFF"/>
            <w:tcMar>
              <w:top w:w="100" w:type="dxa"/>
              <w:bottom w:w="100" w:type="dxa"/>
              <w:left w:w="150" w:type="dxa"/>
              <w:right w:w="150" w:type="dxa"/>
            </w:tcMar>
          </w:tcPr>
          <w:p>
            <w:pPr>
              <w:spacing w:line="276" w:lineRule="auto" w:after="40"/>
            </w:pPr>
            <w:r>
              <w:rPr>
                <w:color w:val="334155"/>
                <w:sz w:val="19"/>
              </w:rPr>
              <w:t>Pelaksanaan wawancara komprehensif oleh tim peneliti mahasiswa untuk mendokumentasikan sejarah lisan, mitos, dan kondisi terkini pelestarian situs.</w:t>
            </w:r>
          </w:p>
        </w:tc>
      </w:tr>
    </w:tbl>
    <w:p>
      <w:pPr>
        <w:spacing w:after="160"/>
      </w:pPr>
    </w:p>
    <w:p>
      <w:pPr>
        <w:keepNext/>
        <w:spacing w:before="280" w:after="80"/>
      </w:pPr>
      <w:r>
        <w:rPr>
          <w:rFonts w:ascii="Calibri" w:hAnsi="Calibri"/>
          <w:b/>
          <w:color w:val="0F766E"/>
          <w:sz w:val="28"/>
        </w:rPr>
        <w:t>II. INVENTARISASI LENGKAP CERITA FIKSI, MITOS, DAN LEGENDA</w:t>
      </w:r>
    </w:p>
    <w:p>
      <w:pPr>
        <w:spacing w:after="120"/>
      </w:pPr>
      <w:r>
        <w:t>Narasumber menegaskan terdapat lebih dari 5–6 versi cerita mitos yang beredar di masyarakat dan media, yang kebenarannya secara faktual belum dapat dipertanggungjawabkan:</w:t>
      </w:r>
    </w:p>
    <w:p>
      <w:pPr>
        <w:keepNext/>
        <w:spacing w:before="120" w:after="40"/>
      </w:pPr>
      <w:r>
        <w:rPr>
          <w:b/>
          <w:color w:val="0F172A"/>
          <w:sz w:val="22"/>
        </w:rPr>
        <w:t>A. Versi Pewayangan: Duel Bratasena Melawan Prabu Rahwana</w:t>
      </w:r>
    </w:p>
    <w:p>
      <w:pPr>
        <w:spacing w:after="120" w:line="276" w:lineRule="auto"/>
      </w:pPr>
      <w:r>
        <w:rPr>
          <w:color w:val="334155"/>
          <w:sz w:val="21"/>
        </w:rPr>
        <w:t>Mengisahkan pertarungan sengit antara tokoh pandawa perkasa Bratasena dengan raja raksasa Rahwana. Dalam perang tanding tersebut, Rahwana berhasil dikalahkan dan kepalanya dipenggal oleh Bratasena. Kepala yang terputus tersebut konon terlempar dan jatuh di lokasi Beji, sehingga area ini diyakini masyarakat sebagai asal-usul sebutan 'Sirah Keteng' (kepala yang terpenggal).</w:t>
      </w:r>
    </w:p>
    <w:p>
      <w:pPr>
        <w:keepNext/>
        <w:spacing w:before="120" w:after="40"/>
      </w:pPr>
      <w:r>
        <w:rPr>
          <w:b/>
          <w:color w:val="0F172A"/>
          <w:sz w:val="22"/>
        </w:rPr>
        <w:t>B. Versi Legenda Rakyat: Kerajaan Raksasa Ratu Baka (Ratu Boko) &amp; Ki Ajar Prono</w:t>
      </w:r>
    </w:p>
    <w:p>
      <w:pPr>
        <w:spacing w:after="120" w:line="276" w:lineRule="auto"/>
      </w:pPr>
      <w:r>
        <w:rPr>
          <w:color w:val="334155"/>
          <w:sz w:val="21"/>
        </w:rPr>
        <w:t>Menceritakan bahwa dahulu di wilayah ini berdiri kerajaan raksasa yang diperintah oleh raja bengis dan kejam bernama Ratu Baka (Ratu Boko). Raja ini memiliki kebiasaan memangsa manusia dan secara berkala menuntut tumbal gadis/wanita cantik untuk dimakan. Melihat kebengisan tersebut, seorang pertapa sakti bernama Ki Ajar Prono melakukan perlawanan hingga sukses mengalahkan dan menewaskan Ratu Baka.</w:t>
        <w:br/>
        <w:t>• Catatan Narasumber: Cerita ini lahir dari tafsir visual warga terhadap arca kepala berwajah raksasa dan bertaring. Secara geografis dan sejarah faktual, Kerajaan Ratu Boko berada di Kabupaten Klaten / Prambanan, Jawa Tengah, bukan di Ponorogo.</w:t>
      </w:r>
    </w:p>
    <w:p>
      <w:pPr>
        <w:keepNext/>
        <w:spacing w:before="120" w:after="40"/>
      </w:pPr>
      <w:r>
        <w:rPr>
          <w:b/>
          <w:color w:val="0F172A"/>
          <w:sz w:val="22"/>
        </w:rPr>
        <w:t>C. Versi Babad Ponorogo: Perang Tanding Suryangalam (Ki Ageng Gribig) vs Batara Katong</w:t>
      </w:r>
    </w:p>
    <w:p>
      <w:pPr>
        <w:spacing w:after="120" w:line="276" w:lineRule="auto"/>
      </w:pPr>
      <w:r>
        <w:rPr>
          <w:color w:val="334155"/>
          <w:sz w:val="21"/>
        </w:rPr>
        <w:t>Merupakan narasi populer berlatar pembentukan tlatah Ponorogo:</w:t>
        <w:br/>
        <w:t>1. Pertempuran di Perbukitan Desa Bancingan: Terjadi perang antara Suryangalam / Ki Ageng Gribig melawan aliansi Raden Batara Katong, Patih Seloaji, dan Ki Ageng Mirah. Suryangalam terkena senjata pusaka Batara Katong dan terhempas ke dalam mata air kecil (belik). Genangan air seketika berbau anyir darah, sehingga lokasi itu dinamai Belik Bacin.</w:t>
        <w:br/>
        <w:t>2. Pengejaran Menuju Beringin Sirah Keteng: Mengira musuhnya telah tewas, Batara Katong dikejutkan oleh sesumbar Suryangalam yang menantang untuk mengejarnya ('nututi') ke arah selatan. Di bawah pohon beringin raksasa di Sirah Keteng, keduanya kembali bertarung hingga kepala Suryangalam tertebas putus dan jatuh ke dalam sendang.</w:t>
        <w:br/>
        <w:t>3. Bau Ledeng &amp; Berlarinya Tubuh Tanpa Kepala: Darah dari kepala yang terendam menyebabkan air sendang berbau busuk menusuk ('ledeng-ledeng'), memicu nama 'Sirah Keteng'. Namun tubuhnya ('gembung') tetap bangkit dan berlari sejauh belasan kilometer menuju Bukit Dlokor (Desa Tladan, Kec. Mlarak).</w:t>
        <w:br/>
        <w:t>4. Menghadap Nyi Kurek: Di Bukit Dlokor, tubuh dan kepala Suryangalam dikisahkan menyatu kembali secara gaib saat menghadap Nyi Kurek (tokoh danyang yang dihormati di Ponorogo).</w:t>
      </w:r>
    </w:p>
    <w:p>
      <w:pPr>
        <w:keepNext/>
        <w:spacing w:before="120" w:after="40"/>
      </w:pPr>
      <w:r>
        <w:rPr>
          <w:b/>
          <w:color w:val="0F172A"/>
          <w:sz w:val="22"/>
        </w:rPr>
        <w:t>D. Mitos Modern &amp; Supranatural: Hubungan Gaib Nyi Roro Kidul</w:t>
      </w:r>
    </w:p>
    <w:p>
      <w:pPr>
        <w:spacing w:after="120" w:line="276" w:lineRule="auto"/>
      </w:pPr>
      <w:r>
        <w:rPr>
          <w:color w:val="334155"/>
          <w:sz w:val="21"/>
        </w:rPr>
        <w:t>Klaim atau narasi liar yang berkembang di media sosial dan internet yang mengaitkan terowongan air bawah tanah Sirah Keteng dengan Keraton Pantai Selatan (Nyi Roro Kidul). Narasumber secara tegas menyebut klaim ini sebagai cerita yang mengada-ada dan tidak memiliki dasar sejarah maupun naskah kuno.</w:t>
      </w:r>
    </w:p>
    <w:p>
      <w:pPr>
        <w:keepNext/>
        <w:spacing w:before="280" w:after="80"/>
      </w:pPr>
      <w:r>
        <w:rPr>
          <w:rFonts w:ascii="Calibri" w:hAnsi="Calibri"/>
          <w:b/>
          <w:color w:val="0F766E"/>
          <w:sz w:val="28"/>
        </w:rPr>
        <w:t>III. SEJARAH ASLI, FAKTA ARKEOLOGIS &amp; DATA OTENTIK SITUS</w:t>
      </w:r>
    </w:p>
    <w:p>
      <w:pPr>
        <w:keepNext/>
        <w:spacing w:before="120" w:after="40"/>
      </w:pPr>
      <w:r>
        <w:rPr>
          <w:b/>
          <w:color w:val="0F172A"/>
          <w:sz w:val="22"/>
        </w:rPr>
        <w:t>1. Prasasti Sirah Keting (No. Inventaris Museum Nasional: D 33 / D 172)</w:t>
      </w:r>
    </w:p>
    <w:p>
      <w:pPr>
        <w:spacing w:after="120" w:line="276" w:lineRule="auto"/>
      </w:pPr>
      <w:r>
        <w:rPr>
          <w:color w:val="334155"/>
          <w:sz w:val="21"/>
        </w:rPr>
        <w:t>• Tarikh &amp; Aksara: Berangka tahun 1126 Saka (1204 Masehi), dipahatkan dengan aksara dan bahasa Jawa Kuno.</w:t>
        <w:br/>
        <w:t>• Kedudukan Hukum: Berisi maklumat anugerah status Sima Swatantra (daerah swatantra/otonom yang dibebaskan dari pungutan pajak kerajaan) serta pemberian hak-hak istimewa kepada tokoh lokal bernama Marjaya (bergelar atapatigh).</w:t>
        <w:br/>
        <w:t>• Alasan Penganugerahan: Sebagai bentuk penghargaan tertinggi atas kesetiaan, dedikasi, kepatuhan, dan jasa-jasa besar Marjaya kepada baginda raja dalam menjaga stabilitas kawasan perbatasan.</w:t>
      </w:r>
    </w:p>
    <w:p>
      <w:pPr>
        <w:keepNext/>
        <w:spacing w:before="120" w:after="40"/>
      </w:pPr>
      <w:r>
        <w:rPr>
          <w:b/>
          <w:color w:val="0F172A"/>
          <w:sz w:val="22"/>
        </w:rPr>
        <w:t>2. Genealogi dan Kedudukan Politik Prabu Sri Jayawarsa</w:t>
      </w:r>
    </w:p>
    <w:p>
      <w:pPr>
        <w:spacing w:after="120" w:line="276" w:lineRule="auto"/>
      </w:pPr>
      <w:r>
        <w:rPr>
          <w:color w:val="334155"/>
          <w:sz w:val="21"/>
        </w:rPr>
        <w:t>• Silsilah Kerajaan: Prabu Sri Jayawarsa Digjaya Sastra Prabu merupakan cucu kandung dari Raja Dharmawangsa Teguh (penguasa pamungkas Kerajaan Medang Mataram Kuno di Jawa Timur), trah langsung Dinasti Isyana (Mpu Sindok), serta memiliki hubungan darah kekerabatan erat dengan Prabu Airlangga (pendiri Kahuripan).</w:t>
        <w:br/>
        <w:t>• Hubungan dengan Kadiri: Prasasti membuktikan bahwa Sri Jayawarsa memerintah wilayah Madiun, Ponorogo, dan sekitarnya berdampingan secara merdeka, berdaulat, dan bersahabat erat dengan Kerajaan Kediri di bawah pemerintahan Raja Kameswara.</w:t>
      </w:r>
    </w:p>
    <w:p>
      <w:pPr>
        <w:keepNext/>
        <w:spacing w:before="120" w:after="40"/>
      </w:pPr>
      <w:r>
        <w:rPr>
          <w:b/>
          <w:color w:val="0F172A"/>
          <w:sz w:val="22"/>
        </w:rPr>
        <w:t>3. Asal-Usul Nama 'Sirah Keteng' vs 'Sirah Keting'</w:t>
      </w:r>
    </w:p>
    <w:p>
      <w:pPr>
        <w:spacing w:after="120" w:line="276" w:lineRule="auto"/>
      </w:pPr>
      <w:r>
        <w:rPr>
          <w:color w:val="334155"/>
          <w:sz w:val="21"/>
        </w:rPr>
        <w:t>Nama historis asli menurut piagam prasasti adalah Sirah Keting. Perubahan bunyi menjadi Sirah Keteng murni merupakan proses pergeseran fonetik atau adaptasi lidah masyarakat Jawa lokal sehari-hari.</w:t>
      </w:r>
    </w:p>
    <w:p>
      <w:pPr>
        <w:keepNext/>
        <w:spacing w:before="120" w:after="40"/>
      </w:pPr>
      <w:r>
        <w:rPr>
          <w:b/>
          <w:color w:val="0F172A"/>
          <w:sz w:val="22"/>
        </w:rPr>
        <w:t>4. Fakta Arca Kalamakara (Bukan Kepala Raksasa)</w:t>
      </w:r>
    </w:p>
    <w:p>
      <w:pPr>
        <w:spacing w:after="120" w:line="276" w:lineRule="auto"/>
      </w:pPr>
      <w:r>
        <w:rPr>
          <w:color w:val="334155"/>
          <w:sz w:val="21"/>
        </w:rPr>
        <w:t>• Identifikasi Arkeologis: Arca berkepala raksasa dengan mata melotot dan gigi bertaring yang terdapat di situs bukanlah kepala Ratu Boko atau Rahwana, melainkan Arca Kalamakara (Kala).</w:t>
        <w:br/>
        <w:t>• Fungsi Sakral: Dalam arsitektur percandian Hindu-Buddha klasik Jawa, Kalamakara dipasang di ambang atas gerbang atau pintu masuk candi sebagai lambang penolak bala, pembersih batin, dan pelindung kesucian bangunan suci.</w:t>
        <w:br/>
        <w:t>• Rekam Jejak Pemindahan: Sepanjang sejarahnya, arca ini telah dipindahkan sebanyak 3 kali di seputaran area situs: awalnya di sebelah barat halaman, berpindah ke sebelah utara jalan, dan kini diletakkan di sebelah selatan jalan.</w:t>
      </w:r>
    </w:p>
    <w:p>
      <w:pPr>
        <w:keepNext/>
        <w:spacing w:before="120" w:after="40"/>
      </w:pPr>
      <w:r>
        <w:rPr>
          <w:b/>
          <w:color w:val="0F172A"/>
          <w:sz w:val="22"/>
        </w:rPr>
        <w:t>5. Artefak Watu Pawukon &amp; Lesung Batu Kuno</w:t>
      </w:r>
    </w:p>
    <w:p>
      <w:pPr>
        <w:spacing w:after="120" w:line="276" w:lineRule="auto"/>
      </w:pPr>
      <w:r>
        <w:rPr>
          <w:color w:val="334155"/>
          <w:sz w:val="21"/>
        </w:rPr>
        <w:t>• Watu Pawukon: Batu andesit artefak astronomi kuno yang digunakan leluhur untuk memantau kalender musim perbintangan (wuku/pawukon). Digunakan sebagai pedoman pranata mangsa sebelum membuka lahan, bercocok tanam, maupun memulai perhelatan penting.</w:t>
        <w:br/>
        <w:t>• Lesung Batu: Terletak di bagian depan, difungsikan pada masa silam sebagai alat komunal untuk menumbuk hasil bumi (padi dan gaplek).</w:t>
      </w:r>
    </w:p>
    <w:p>
      <w:pPr>
        <w:keepNext/>
        <w:spacing w:before="120" w:after="40"/>
      </w:pPr>
      <w:r>
        <w:rPr>
          <w:b/>
          <w:color w:val="0F172A"/>
          <w:sz w:val="22"/>
        </w:rPr>
        <w:t>6. Struktur Petirtaan, Terowongan Bawah Tanah &amp; Bata Merah Kuno</w:t>
      </w:r>
    </w:p>
    <w:p>
      <w:pPr>
        <w:spacing w:after="120" w:line="276" w:lineRule="auto"/>
      </w:pPr>
      <w:r>
        <w:rPr>
          <w:color w:val="334155"/>
          <w:sz w:val="21"/>
        </w:rPr>
        <w:t>• Kompleks Petirtaan / Kaputren: Adanya mata air alami abadi (Sumber Sirah Keteng) dan kolam penampungan air menunjukkan fungsi masa lalu sebagai petirtaan suci, pertapaan, atau tempat mandi keluarga bangsawan istana (Kaputren).</w:t>
        <w:br/>
        <w:t>• Jaringan Terowongan Bawah Tanah: Di bagian selatan Beji, terdapat saluran terowongan air bawah tanah alami/kuno yang terhubung langsung sejauh kurang lebih 7 kilometer ke arah sumber mata air Kedung Lesung di kawasan Gunung Kidul Rengnanom.</w:t>
        <w:br/>
        <w:t>• Temuan Bata Merah Besar: Struktur pondasi dan bata merah berukuran masif (khas percandian era klasik) yang terpendam di dasar kolam pemancingan mengonfirmasi pernah berdirinya kompleks bangunan monumental di situs ini.</w:t>
      </w:r>
    </w:p>
    <w:p>
      <w:pPr>
        <w:keepNext/>
        <w:spacing w:before="280" w:after="80"/>
      </w:pPr>
      <w:r>
        <w:rPr>
          <w:rFonts w:ascii="Calibri" w:hAnsi="Calibri"/>
          <w:b/>
          <w:color w:val="0F766E"/>
          <w:sz w:val="28"/>
        </w:rPr>
        <w:t>IV. FAKTA SOSIAL, TRADISI WARGA &amp; KONDISI PELESTARIAN TERKINI</w:t>
      </w:r>
    </w:p>
    <w:p>
      <w:pPr>
        <w:keepNext/>
        <w:spacing w:before="120" w:after="40"/>
      </w:pPr>
      <w:r>
        <w:rPr>
          <w:b/>
          <w:color w:val="0F172A"/>
          <w:sz w:val="22"/>
        </w:rPr>
        <w:t>1. Kunjungan Tokoh Nasional &amp; Tokoh Budaya</w:t>
      </w:r>
    </w:p>
    <w:p>
      <w:pPr>
        <w:spacing w:after="120" w:line="276" w:lineRule="auto"/>
      </w:pPr>
      <w:r>
        <w:rPr>
          <w:color w:val="334155"/>
          <w:sz w:val="21"/>
        </w:rPr>
        <w:t>Area lapangan dan situs Beji Sirah Keteng tercatat beberapa kali menjadi lokasi acara dan kunjungan tokoh nasional serta budayawan terkemuka, di antaranya Emha Ainun Nadjib (Cak Nun) pada agenda pengajian/kebudayaan, Tukul Arwana, dan Ki Joko Bodo.</w:t>
      </w:r>
    </w:p>
    <w:p>
      <w:pPr>
        <w:keepNext/>
        <w:spacing w:before="120" w:after="40"/>
      </w:pPr>
      <w:r>
        <w:rPr>
          <w:b/>
          <w:color w:val="0F172A"/>
          <w:sz w:val="22"/>
        </w:rPr>
        <w:t>2. Tradisi Bersih Desa</w:t>
      </w:r>
    </w:p>
    <w:p>
      <w:pPr>
        <w:spacing w:after="120" w:line="276" w:lineRule="auto"/>
      </w:pPr>
      <w:r>
        <w:rPr>
          <w:color w:val="334155"/>
          <w:sz w:val="21"/>
        </w:rPr>
        <w:t>Pemerintah dan masyarakat menyelenggarakan agenda tradisi Bersih Desa rutin setiap satu tahun sekali. Lokasinya digilir antara Dukuh Kerajan (area situs) dan Dukuh Kamangrejo (sebelah utara area persawahan). Tidak terdapat upacara ritual magis khusus di situs selain kegiatan bersih desa dan kerja bakti rukun warga.</w:t>
      </w:r>
    </w:p>
    <w:p>
      <w:pPr>
        <w:keepNext/>
        <w:spacing w:before="120" w:after="40"/>
      </w:pPr>
      <w:r>
        <w:rPr>
          <w:b/>
          <w:color w:val="0F172A"/>
          <w:sz w:val="22"/>
        </w:rPr>
        <w:t>3. Kerja Bakti Lingkungan</w:t>
      </w:r>
    </w:p>
    <w:p>
      <w:pPr>
        <w:spacing w:after="120" w:line="276" w:lineRule="auto"/>
      </w:pPr>
      <w:r>
        <w:rPr>
          <w:color w:val="334155"/>
          <w:sz w:val="21"/>
        </w:rPr>
        <w:t>Kegiatan gotong royong pembersihan area situs biasanya diorganisasi oleh RW 1 Dusun Kerajan (yang menaungi 4 RT). Namun intensitasnya kian merosot karena tingginya kesibukan warga dan pengurus lingkungan.</w:t>
      </w:r>
    </w:p>
    <w:p>
      <w:pPr>
        <w:keepNext/>
        <w:spacing w:before="120" w:after="40"/>
      </w:pPr>
      <w:r>
        <w:rPr>
          <w:b/>
          <w:color w:val="0F172A"/>
          <w:sz w:val="22"/>
        </w:rPr>
        <w:t>4. Kondisi Fisik Situs &amp; Ancaman Hilangnya Artefak</w:t>
      </w:r>
    </w:p>
    <w:p>
      <w:pPr>
        <w:spacing w:after="120" w:line="276" w:lineRule="auto"/>
      </w:pPr>
      <w:r>
        <w:rPr>
          <w:color w:val="334155"/>
          <w:sz w:val="21"/>
        </w:rPr>
        <w:t>• Kerusakan Plesengan: Tembok penahan air kolam banyak yang runtuh/ambrol akibat tergerus debit air limpasan di musim hujan. Rencana renovasi terkendala keterbatasan anggaran desa.</w:t>
        <w:br/>
        <w:t>• Penjarahan Bata Kuno: Saat pengerukan kolam tahun 2016, banyak batu bata merah kuno berukuran besar yang berserakan diambil dan dibawa pulang oleh warga yang tidak memahami nilai penting cagar budaya, tanpa adanya inventarisasi dan penyelamatan satu pintu.</w:t>
      </w:r>
    </w:p>
    <w:p>
      <w:pPr>
        <w:keepNext/>
        <w:spacing w:before="120" w:after="40"/>
      </w:pPr>
      <w:r>
        <w:rPr>
          <w:b/>
          <w:color w:val="0F172A"/>
          <w:sz w:val="22"/>
        </w:rPr>
        <w:t>5. Tantangan Utama: Regenerasi &amp; Dokumentasi Tertulis</w:t>
      </w:r>
    </w:p>
    <w:p>
      <w:pPr>
        <w:spacing w:after="120" w:line="276" w:lineRule="auto"/>
      </w:pPr>
      <w:r>
        <w:rPr>
          <w:color w:val="334155"/>
          <w:sz w:val="21"/>
        </w:rPr>
        <w:t>• Apatisme Generasi Muda: Muncul kekhawatiran mendalam dari para sesepuh terhadap pudarnya kepedulian generasi muda untuk merawat situs tanpa disuruh, sehingga pembersihan kini hanya bertumpu pada segelintir warga lanjut usia.</w:t>
        <w:br/>
        <w:t>• Ketiadaan Arsip Desa: Hingga saat ini sejarah autentik Sirah Keteng belum pernah dibukukan atau diterbitkan sebagai arsip resmi desa, sehingga masyarakat awam lebih mudah terpapar cerita fiksi dan mitos yang simpang siur.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4155"/>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